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841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4418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42</w:t>
      </w:r>
    </w:p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25 </w:t>
      </w:r>
      <w:r>
        <w:rPr>
          <w:rFonts w:ascii="Times New Roman" w:eastAsia="Times New Roman" w:hAnsi="Times New Roman" w:cs="Times New Roman"/>
          <w:sz w:val="27"/>
          <w:szCs w:val="27"/>
        </w:rPr>
        <w:t>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</w:t>
      </w:r>
      <w:r>
        <w:rPr>
          <w:rFonts w:ascii="Times New Roman" w:eastAsia="Times New Roman" w:hAnsi="Times New Roman" w:cs="Times New Roman"/>
          <w:sz w:val="27"/>
          <w:szCs w:val="27"/>
        </w:rPr>
        <w:t>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>. 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И.о.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адрес: ХМАО</w:t>
      </w:r>
      <w:r>
        <w:rPr>
          <w:rFonts w:ascii="Times New Roman" w:eastAsia="Times New Roman" w:hAnsi="Times New Roman" w:cs="Times New Roman"/>
          <w:sz w:val="27"/>
          <w:szCs w:val="27"/>
        </w:rPr>
        <w:t>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 участием </w:t>
      </w:r>
      <w:r>
        <w:rPr>
          <w:rFonts w:ascii="Times New Roman" w:eastAsia="Times New Roman" w:hAnsi="Times New Roman" w:cs="Times New Roman"/>
          <w:sz w:val="27"/>
          <w:szCs w:val="27"/>
        </w:rPr>
        <w:t>старшего инспектора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группы организации охраны объектов, подлежащих обязательной охране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О.А.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директора муниципального бюджетного общеобразовательного учреждения «</w:t>
      </w:r>
      <w:r>
        <w:rPr>
          <w:rStyle w:val="cat-UserDefinedgrp-53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(Далее- МБОУ «</w:t>
      </w:r>
      <w:r>
        <w:rPr>
          <w:rStyle w:val="cat-UserDefinedgrp-55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»)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ютиной Ольги Яковлев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54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ранее не 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>ся к административной ответственности за административные правонарушения, предусмотренные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Главой 20 Кодекса Российской Федерации об административных правонарушениях.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>14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лицо-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являясь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находясь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ХМАО-Югра, Тюменская область, Сургутский район, </w:t>
      </w:r>
      <w:r>
        <w:rPr>
          <w:rFonts w:ascii="Times New Roman" w:eastAsia="Times New Roman" w:hAnsi="Times New Roman" w:cs="Times New Roman"/>
          <w:sz w:val="27"/>
          <w:szCs w:val="27"/>
        </w:rPr>
        <w:t>г.п. 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ул. Эстонских Дорожников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строение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44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предпринял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все зависящие от не</w:t>
      </w:r>
      <w:r>
        <w:rPr>
          <w:rFonts w:ascii="Times New Roman" w:eastAsia="Times New Roman" w:hAnsi="Times New Roman" w:cs="Times New Roman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меры по соблюдению исполнения законодательства в области обеспечения антитеррористической защищенности объекта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Сургутский район, г. Лянтор, </w:t>
      </w:r>
      <w:r>
        <w:rPr>
          <w:rFonts w:ascii="Times New Roman" w:eastAsia="Times New Roman" w:hAnsi="Times New Roman" w:cs="Times New Roman"/>
          <w:sz w:val="27"/>
          <w:szCs w:val="27"/>
        </w:rPr>
        <w:t>ул. Эстонских Дорожников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строение </w:t>
      </w:r>
      <w:r>
        <w:rPr>
          <w:rFonts w:ascii="Times New Roman" w:eastAsia="Times New Roman" w:hAnsi="Times New Roman" w:cs="Times New Roman"/>
          <w:sz w:val="27"/>
          <w:szCs w:val="27"/>
        </w:rPr>
        <w:t>44</w:t>
      </w:r>
      <w:r>
        <w:rPr>
          <w:rFonts w:ascii="Times New Roman" w:eastAsia="Times New Roman" w:hAnsi="Times New Roman" w:cs="Times New Roman"/>
          <w:sz w:val="27"/>
          <w:szCs w:val="27"/>
        </w:rPr>
        <w:t>, а следовательно, совершил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административное правонарушение, ответственность за которое предусмотрена частью 1 статьи 20.35 Кодекса Российской Федерации об административных правонарушениях - нарушение требований к антитеррористической защищенности объектов (территорий), за исключением случаев, предусмотренных частью 2 статьи 20.35, статьями 11.15.1 и 20.30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если эти действия не содержат признаков уголовно наказуемого деяния,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выразившееся в форме бездействия в виде неисполнения пп. «д» п. 24, п. 31 ПП 1006, а именно в не оборудовании </w:t>
      </w:r>
      <w:r>
        <w:rPr>
          <w:rFonts w:ascii="Times New Roman" w:eastAsia="Times New Roman" w:hAnsi="Times New Roman" w:cs="Times New Roman"/>
          <w:sz w:val="27"/>
          <w:szCs w:val="27"/>
        </w:rPr>
        <w:t>объекта (территории) автономной системой оповещения и управления эвакуацией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ситуации, обеспечивающей оповещение лю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 в любой точке объекта (территории). 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Действие (бездействие) </w:t>
      </w: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–заместителя заведующего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относятся к случаям, предусмотренным ч. 2 ст. 20.35 КоАП РФ, статьям 11.15.1 и 20.30 КоАП РФ, и не содержат признаков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Факт совершенного правонарушения подтверждается информацией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 МОВО — филиала ФГКУ «УВО ВНГ России по Ханты-Мансийскому автономному округу-Югре»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01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ютина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надлежаще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времени и месте рассмотрения дела / повестка/ в судебное заседание </w:t>
      </w:r>
      <w:r>
        <w:rPr>
          <w:rFonts w:ascii="Times New Roman" w:eastAsia="Times New Roman" w:hAnsi="Times New Roman" w:cs="Times New Roman"/>
          <w:sz w:val="27"/>
          <w:szCs w:val="27"/>
        </w:rPr>
        <w:t>была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 правонарушением согласна, вину признала полностью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Старший инспектор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группы организации охраны объектов, подлежащих обязательной охране Кондратьева О.А. в судебном заседании пояснила, что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заместителя заведующего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3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устранению нарушений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требований к антитеррористической защищенности объекта в сфере культуры </w:t>
      </w:r>
      <w:r>
        <w:rPr>
          <w:rFonts w:ascii="Times New Roman" w:eastAsia="Times New Roman" w:hAnsi="Times New Roman" w:cs="Times New Roman"/>
          <w:sz w:val="27"/>
          <w:szCs w:val="27"/>
        </w:rPr>
        <w:t>не были своевременными и достаточными. Он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предпринимать меры только после проверки со стороны органа контроля, то есть после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.01.2026 года. На объекте не было оборудована система оповещения людей, находящихся на объектах, о потенциальной угрозе возникновения или возникновении чрезвычайных ситуаций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чем нарушены требования Постановления правительства РФ №176. Если бы ранее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ютина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прилагал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усилия к оборудованию системы оповещения, какие он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принимает после проверки, то протокол был бы составлен на учредителя, то есть на Администрацию.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правонарушения,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20.</w:t>
      </w:r>
      <w:r>
        <w:rPr>
          <w:rFonts w:ascii="Times New Roman" w:eastAsia="Times New Roman" w:hAnsi="Times New Roman" w:cs="Times New Roman"/>
          <w:sz w:val="27"/>
          <w:szCs w:val="27"/>
        </w:rPr>
        <w:t>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подтверждается следующими доказательствами: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.2026 г. /л.д.7-</w:t>
      </w: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/, рапортом от </w:t>
      </w:r>
      <w:r>
        <w:rPr>
          <w:rFonts w:ascii="Times New Roman" w:eastAsia="Times New Roman" w:hAnsi="Times New Roman" w:cs="Times New Roman"/>
          <w:sz w:val="27"/>
          <w:szCs w:val="27"/>
        </w:rPr>
        <w:t>01</w:t>
      </w:r>
      <w:r>
        <w:rPr>
          <w:rFonts w:ascii="Times New Roman" w:eastAsia="Times New Roman" w:hAnsi="Times New Roman" w:cs="Times New Roman"/>
          <w:sz w:val="27"/>
          <w:szCs w:val="27"/>
        </w:rPr>
        <w:t>.07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/л.д. 1</w:t>
      </w:r>
      <w:r>
        <w:rPr>
          <w:rFonts w:ascii="Times New Roman" w:eastAsia="Times New Roman" w:hAnsi="Times New Roman" w:cs="Times New Roman"/>
          <w:sz w:val="27"/>
          <w:szCs w:val="27"/>
        </w:rPr>
        <w:t>7-19</w:t>
      </w:r>
      <w:r>
        <w:rPr>
          <w:rFonts w:ascii="Times New Roman" w:eastAsia="Times New Roman" w:hAnsi="Times New Roman" w:cs="Times New Roman"/>
          <w:sz w:val="27"/>
          <w:szCs w:val="27"/>
        </w:rPr>
        <w:t>/, объяснением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/л.д.11-13/,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акта обследования объекта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.01.2026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/л.д.</w:t>
      </w:r>
      <w:r>
        <w:rPr>
          <w:rFonts w:ascii="Times New Roman" w:eastAsia="Times New Roman" w:hAnsi="Times New Roman" w:cs="Times New Roman"/>
          <w:sz w:val="27"/>
          <w:szCs w:val="27"/>
        </w:rPr>
        <w:t>78-82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трудового договора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06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№ 1лс, /л.д.-7/,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должностной инструкцией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/л.д.7-12/;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решения о проведении проверки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рапорта майора полиции Кондратьевой О.А. на 2 л., в 1 экз.; требованием о явке для составления административного протокола с отметкой о получении, справкой РАИБД; копией выписки ЕГРЮЛ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4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свидетельством ОГРН; Уставом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изменениями; постановлением о приеме на работу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Трудовым договором с изменениями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должностной инструкцией </w:t>
      </w:r>
      <w:r>
        <w:rPr>
          <w:rFonts w:ascii="Times New Roman" w:eastAsia="Times New Roman" w:hAnsi="Times New Roman" w:cs="Times New Roman"/>
          <w:sz w:val="27"/>
          <w:szCs w:val="27"/>
        </w:rPr>
        <w:t>заместителя заведующего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учреждения;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риказом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назначении должностного лица, ответственного за выполнение мероприятий по обеспечению антитеррористической защищенности»</w:t>
      </w:r>
      <w:r>
        <w:rPr>
          <w:rFonts w:ascii="Times New Roman" w:eastAsia="Times New Roman" w:hAnsi="Times New Roman" w:cs="Times New Roman"/>
          <w:sz w:val="27"/>
          <w:szCs w:val="27"/>
        </w:rPr>
        <w:t>; постановлением о закреплении муниципального имущества; выпиской ЕГРН на объект; копией приказа о создании комиссии;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</w:t>
      </w:r>
      <w:r>
        <w:rPr>
          <w:rFonts w:ascii="Times New Roman" w:eastAsia="Times New Roman" w:hAnsi="Times New Roman" w:cs="Times New Roman"/>
          <w:sz w:val="27"/>
          <w:szCs w:val="27"/>
        </w:rPr>
        <w:t>ереписк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обследовании объекта от 2026 г.;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рапорта об обследовании объекта;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акта обследования и категорирования объекта;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листа согласования паспорта безопасности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акта обследования;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технической документации на систему ОПС;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электронного контракта на замену систему ОПС;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опи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писем-запросов о выделении финансирования на оборудование системы оповещения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3 ПП 176, ответственность за обеспечение антитеррористической защищенности объектов (территорий) возлагается на руководителей органов (организаций) в сфере культуры, являющихся правообладателями объектов (территории),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 также на должностных лиц, осуществляющих непосредственное руководство деятельностью работников объектов (территорий).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 20 Постановления Правительства № 176 антитеррористическая защищенность объектов (территорий) обеспечивается путем осуществления мероприятий в целях: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а) воспрепятствования неправомерному проникновению на объекты (территории);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б) выявления потенциальных нарушителей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установленных на объектах (территориях) режимов и (или) признаков подготовки или совершения террористического акта;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в) пресечения попыток совершения террористических актов на объектах (территориях);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г) минимизации возможных последствий и ликвидации угрозы террористических актов на объектах (территориях);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д) обеспечения защиты служебной информации ограниченного распространения, содержащейся в паспорте безопасности объекта (территории), иных документах и на других материальных носителях информации, в том числе служебной информации ограниченного распространения о принимаемых мерах по антитеррористической защищенности объектов (территорий);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е) выявления и предотвращения несанкционированного проноса (провоза) на объект (территорию) и применения на объекте (территории) токсичных химикатов, отравляющих веществ и патогенных биологических агентов, в том числе при их получении посредством почтовых отправлений.</w:t>
      </w: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пп. «в» п. 24 ПП 176 минимизация возможных последствий и ликвидации угрозы террористических актов на объектах (территориях) достигается посредством своевременного оповещения работников объектов (территорий) и иных лиц, находящихся на объектах (территориях), о безопасной и беспрепятственной эвакуации, обеспечения технических возможностей эвакуации. 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пп. «з» п. 25 ПП 176 в целях обеспечения необходимой степени антитеррористической защищенности объектов (территорий) независимо от присвоенной им категории осуществляется оборудование объектов (территорий) системами экстренного оповещения работников объектов (территорий) и иных лиц, находящихся на объектах (территориях), о потенциальной угрозе возникновения или о возникновении чрезвычайной ситуации.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nos" w:eastAsia="Tinos" w:hAnsi="Tinos" w:cs="Tinos"/>
          <w:sz w:val="27"/>
          <w:szCs w:val="27"/>
        </w:rPr>
        <w:t xml:space="preserve">Согласно </w:t>
      </w:r>
      <w:r>
        <w:rPr>
          <w:rFonts w:ascii="Tinos" w:eastAsia="Tinos" w:hAnsi="Tinos" w:cs="Tinos"/>
          <w:sz w:val="27"/>
          <w:szCs w:val="27"/>
        </w:rPr>
        <w:t>п. 2.6, 5.1</w:t>
      </w:r>
      <w:r>
        <w:rPr>
          <w:rFonts w:ascii="Tinos" w:eastAsia="Tinos" w:hAnsi="Tinos" w:cs="Tinos"/>
          <w:sz w:val="27"/>
          <w:szCs w:val="27"/>
        </w:rPr>
        <w:t xml:space="preserve"> Акта обследования и категорирования объекта,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5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nos" w:eastAsia="Tinos" w:hAnsi="Tinos" w:cs="Tinos"/>
          <w:sz w:val="27"/>
          <w:szCs w:val="27"/>
        </w:rPr>
        <w:t xml:space="preserve">, расположенный по адресу: Сургутский район, г. Лянтор, </w:t>
      </w:r>
      <w:r>
        <w:rPr>
          <w:rFonts w:ascii="Tinos" w:eastAsia="Tinos" w:hAnsi="Tinos" w:cs="Tinos"/>
          <w:sz w:val="27"/>
          <w:szCs w:val="27"/>
        </w:rPr>
        <w:t>ул. Эстонских Дорожников</w:t>
      </w:r>
      <w:r>
        <w:rPr>
          <w:rFonts w:ascii="Tinos" w:eastAsia="Tinos" w:hAnsi="Tinos" w:cs="Tinos"/>
          <w:sz w:val="27"/>
          <w:szCs w:val="27"/>
        </w:rPr>
        <w:t xml:space="preserve">, </w:t>
      </w:r>
      <w:r>
        <w:rPr>
          <w:rFonts w:ascii="Tinos" w:eastAsia="Tinos" w:hAnsi="Tinos" w:cs="Tinos"/>
          <w:sz w:val="27"/>
          <w:szCs w:val="27"/>
        </w:rPr>
        <w:t>стр</w:t>
      </w:r>
      <w:r>
        <w:rPr>
          <w:rFonts w:ascii="Tinos" w:eastAsia="Tinos" w:hAnsi="Tinos" w:cs="Tinos"/>
          <w:sz w:val="27"/>
          <w:szCs w:val="27"/>
        </w:rPr>
        <w:t xml:space="preserve">. </w:t>
      </w:r>
      <w:r>
        <w:rPr>
          <w:rFonts w:ascii="Tinos" w:eastAsia="Tinos" w:hAnsi="Tinos" w:cs="Tinos"/>
          <w:sz w:val="27"/>
          <w:szCs w:val="27"/>
        </w:rPr>
        <w:t>44,</w:t>
      </w:r>
      <w:r>
        <w:rPr>
          <w:rFonts w:ascii="Tinos" w:eastAsia="Tinos" w:hAnsi="Tinos" w:cs="Tinos"/>
          <w:sz w:val="27"/>
          <w:szCs w:val="27"/>
        </w:rPr>
        <w:t xml:space="preserve"> не оборудован системой экстренного оповещения работников объекта (территории) и иных лиц, находящихся на объектах (территориях), о потенциальной угрозе возникновения или о возникновении чрезвычайной ситуации, так как имеющаяся на объекте система охранно-пожарной сигнализации и оповещения людей о пожаре, не имеет возможности использования микрофона и не является системой экстренного оповещения работников объектов (территорий) и иных лиц, находящихся на объектах (территориях), о потенциальной угрозе возникновения или о возникновении чрезвычайной ситуации, что свидетельствует о нарушении пп «з» п. 25 ПП 176.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Концепцией противодействия терроризму в РФ, утвержденной Президентом РФ 05.10.2009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последствий проявлений терроризма.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статьей 1 Федерального закона от 6 марта 2006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№ 35-ФЗ «О противодействии терроризму», правовую основу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а также принимаемые в соответствии с ними нормативные правовые акты других федеральных органов государственной власти.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4 ст. 3 Федерального закона от 06.03.2006 № 35-ФЗ «О противодействии терроризму», противодействие терроризму это деятельность органов государственной власти и органов местного самоуправления, а также физических и юридических лиц по: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б) выявлению, предупреждению, пресечению, раскрытию и расследованию террористического акта (борьба с терроризмом);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в) минимизации и (или) ликвидации последствий проявлений терроризма.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п.6 ст.3 Федерального закона от 06.03.2006 № 35-ФЗ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«О противодействии терроризму» антитеррористическая защищенность объекта (территории) - состояние защищенности здания, строения, сооружения, иного объекта, места массового пребывания людей, препятствующее совершению террористического акта.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11 Концепции противодействия терроризму в Российской Федерации, утвержденной Президентом РФ 05.10.2009,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посягательств, в том числе объектов с массовым пребыванием людей.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пункта 4 части 2 статьи 5 Федерального закона от 6 марта 2006 года № 35 - ФЗ «О противодействии терроризму», Правительство Российской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комплекса).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Невыполнение требований к антитеррористической защищенности объекта —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5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свидетельствует о нарушении законодательства о противодействии терроризму, создает угрозу жизни и здоровью неопределенного круга лиц, невозможность своевременного предупреждения и устранения последствий совершения террористического акта, противоречит охраняемым законом интересам общества и государства.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приказом Департамента </w:t>
      </w:r>
      <w:r>
        <w:rPr>
          <w:rFonts w:ascii="Times New Roman" w:eastAsia="Times New Roman" w:hAnsi="Times New Roman" w:cs="Times New Roman"/>
          <w:sz w:val="27"/>
          <w:szCs w:val="27"/>
        </w:rPr>
        <w:t>образования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Администрации Сургутского района ХМАО-Югры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№ </w:t>
      </w:r>
      <w:r>
        <w:rPr>
          <w:rFonts w:ascii="Times New Roman" w:eastAsia="Times New Roman" w:hAnsi="Times New Roman" w:cs="Times New Roman"/>
          <w:sz w:val="27"/>
          <w:szCs w:val="27"/>
        </w:rPr>
        <w:t>97-л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продлены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срока </w:t>
      </w:r>
      <w:r>
        <w:rPr>
          <w:rFonts w:ascii="Times New Roman" w:eastAsia="Times New Roman" w:hAnsi="Times New Roman" w:cs="Times New Roman"/>
          <w:sz w:val="27"/>
          <w:szCs w:val="27"/>
        </w:rPr>
        <w:t>трудов</w:t>
      </w:r>
      <w:r>
        <w:rPr>
          <w:rFonts w:ascii="Times New Roman" w:eastAsia="Times New Roman" w:hAnsi="Times New Roman" w:cs="Times New Roman"/>
          <w:sz w:val="27"/>
          <w:szCs w:val="27"/>
        </w:rPr>
        <w:t>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договора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Саютин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О.Я.</w:t>
      </w:r>
      <w:r>
        <w:rPr>
          <w:rFonts w:ascii="Times New Roman" w:eastAsia="Times New Roman" w:hAnsi="Times New Roman" w:cs="Times New Roman"/>
          <w:sz w:val="27"/>
          <w:szCs w:val="27"/>
        </w:rPr>
        <w:t>, полномочия которо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определены трудовым договором </w:t>
      </w:r>
      <w:r>
        <w:rPr>
          <w:rFonts w:ascii="Times New Roman" w:eastAsia="Times New Roman" w:hAnsi="Times New Roman" w:cs="Times New Roman"/>
          <w:sz w:val="27"/>
          <w:szCs w:val="27"/>
        </w:rPr>
        <w:t>№7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01.10.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редакции дополнительных соглашений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5 г.</w:t>
      </w:r>
      <w:r>
        <w:rPr>
          <w:rFonts w:ascii="Times New Roman" w:eastAsia="Times New Roman" w:hAnsi="Times New Roman" w:cs="Times New Roman"/>
          <w:sz w:val="27"/>
          <w:szCs w:val="27"/>
        </w:rPr>
        <w:t>, на неопределенный срок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разделом 5 Устава </w:t>
      </w:r>
      <w:r>
        <w:rPr>
          <w:rFonts w:ascii="Times New Roman" w:eastAsia="Times New Roman" w:hAnsi="Times New Roman" w:cs="Times New Roman"/>
          <w:sz w:val="27"/>
          <w:szCs w:val="27"/>
        </w:rPr>
        <w:t>МБОУ «</w:t>
      </w:r>
      <w:r>
        <w:rPr>
          <w:rStyle w:val="cat-UserDefinedgrp-55rplc-6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утвержденного, </w:t>
      </w:r>
      <w:r>
        <w:rPr>
          <w:rFonts w:ascii="Times New Roman" w:eastAsia="Times New Roman" w:hAnsi="Times New Roman" w:cs="Times New Roman"/>
          <w:sz w:val="27"/>
          <w:szCs w:val="27"/>
        </w:rPr>
        <w:t>23.06.2020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г., руководство деятельностью учреждения осуществляет директор, который без доверенности действует от имени учреждения, представляет его в государственных органах, органах местного самоуправления, организациях различных форм собственности, судах, органах дознания и следствия; использует имущество и распоряжается средствами учреждения, заключает договоры с организациями различных форм собственности, выдает доверенности, открывает лицевые счета; издает приказы и распоряжения, организует контроль за их исполнением; осуществляет функции работодателя в отношении работников учреждения, то есть выполняет организационно-распорядительные и административно-хозяйственные функции. В соответствии с разделом 5 должностной инструкции директор несет ответственность за жизнь и здоровье работников, за выполнение требований по технике безопасности, охране труда, санитарных норм; за действие, бездействие или неправильные действия, влекущие к нарушению прав и законных интересов граждан. 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примечании к ст.2.4 КоАП РФ указано, что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организаций, несут административную ответственность как должностные лица. 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оценены в совокупности с другими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атери</w:t>
      </w:r>
      <w:r>
        <w:rPr>
          <w:rFonts w:ascii="Times New Roman" w:eastAsia="Times New Roman" w:hAnsi="Times New Roman" w:cs="Times New Roman"/>
          <w:sz w:val="27"/>
          <w:szCs w:val="27"/>
        </w:rPr>
        <w:t>алами дела об административном правонарушении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оссийской Федерации 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также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выслушав мнение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инспектора группы организации охраны объектов, подлежащих обязательной охране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О.А.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полагавш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>, что вин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полностью доказана собранными по делу доказательствами и прос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ит </w:t>
      </w:r>
      <w:r>
        <w:rPr>
          <w:rFonts w:ascii="Times New Roman" w:eastAsia="Times New Roman" w:hAnsi="Times New Roman" w:cs="Times New Roman"/>
          <w:sz w:val="27"/>
          <w:szCs w:val="27"/>
        </w:rPr>
        <w:t>привлечь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в виде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минимальном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 антитеррористической защищенности объектов (территорий)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эти действия не содержат признаков уголовно наказуемого деяния, </w:t>
      </w:r>
      <w:r>
        <w:rPr>
          <w:rFonts w:ascii="Times New Roman" w:eastAsia="Times New Roman" w:hAnsi="Times New Roman" w:cs="Times New Roman"/>
          <w:sz w:val="27"/>
          <w:szCs w:val="27"/>
        </w:rPr>
        <w:t>- доказан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Саютиной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</w:t>
      </w:r>
      <w:r>
        <w:rPr>
          <w:rFonts w:ascii="Times New Roman" w:eastAsia="Times New Roman" w:hAnsi="Times New Roman" w:cs="Times New Roman"/>
          <w:sz w:val="27"/>
          <w:szCs w:val="27"/>
        </w:rPr>
        <w:t>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5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 антитеррористической защищенности объектов (территорий)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эти действия не содержат призна</w:t>
      </w:r>
      <w:r>
        <w:rPr>
          <w:rFonts w:ascii="Times New Roman" w:eastAsia="Times New Roman" w:hAnsi="Times New Roman" w:cs="Times New Roman"/>
          <w:sz w:val="27"/>
          <w:szCs w:val="27"/>
        </w:rPr>
        <w:t>ков уголовно наказуемого деяния.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</w:t>
      </w:r>
      <w:hyperlink r:id="rId4" w:anchor="/document/12125267/entry/2035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статьи, </w:t>
      </w:r>
      <w:hyperlink r:id="rId4" w:anchor="/document/12125267/entry/1115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статьями 11.15.1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4" w:anchor="/document/12125267/entry/203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20.30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ами</w:t>
      </w:r>
      <w:r>
        <w:rPr>
          <w:rFonts w:ascii="Times New Roman" w:eastAsia="Times New Roman" w:hAnsi="Times New Roman" w:cs="Times New Roman"/>
          <w:sz w:val="27"/>
          <w:szCs w:val="27"/>
        </w:rPr>
        <w:t>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в соответствии ст. 4.2 Кодекса Российской Федерации об административных правонарушениях, является признание вины должностным лицом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принятие меру к устранению нарушений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 антитеррористической защищенности объекта.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должностного лица, 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720"/>
        <w:jc w:val="center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 муниципального бюджетного общеобразовательного учреждения «</w:t>
      </w:r>
      <w:r>
        <w:rPr>
          <w:rStyle w:val="cat-UserDefinedgrp-53rplc-7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 Саютин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Ольг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Яковлевн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5 Кодекса Российской Федерации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министративных правонарушениях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тридцать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 рублей.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Саютиной О.Я.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кор. сч. 40102810245370000007, ОКЦ № 8 УГУ Банка России//УФК по Ханты-Мансийскому автономному округу – Югре г. Ханты-Мансийск, БИК 007162163, КБК 72011601203019000140, 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0412365400155008412620131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05-0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841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p>
      <w:pPr>
        <w:widowControl w:val="0"/>
        <w:spacing w:before="0" w:after="0"/>
        <w:ind w:firstLine="708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08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rPr>
          <w:sz w:val="27"/>
          <w:szCs w:val="27"/>
        </w:rPr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633171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53rplc-10">
    <w:name w:val="cat-UserDefined grp-53 rplc-10"/>
    <w:basedOn w:val="DefaultParagraphFont"/>
  </w:style>
  <w:style w:type="character" w:customStyle="1" w:styleId="cat-UserDefinedgrp-55rplc-11">
    <w:name w:val="cat-UserDefined grp-55 rplc-11"/>
    <w:basedOn w:val="DefaultParagraphFont"/>
  </w:style>
  <w:style w:type="character" w:customStyle="1" w:styleId="cat-UserDefinedgrp-54rplc-15">
    <w:name w:val="cat-UserDefined grp-54 rplc-15"/>
    <w:basedOn w:val="DefaultParagraphFont"/>
  </w:style>
  <w:style w:type="character" w:customStyle="1" w:styleId="cat-UserDefinedgrp-55rplc-24">
    <w:name w:val="cat-UserDefined grp-55 rplc-24"/>
    <w:basedOn w:val="DefaultParagraphFont"/>
  </w:style>
  <w:style w:type="character" w:customStyle="1" w:styleId="cat-UserDefinedgrp-55rplc-27">
    <w:name w:val="cat-UserDefined grp-55 rplc-27"/>
    <w:basedOn w:val="DefaultParagraphFont"/>
  </w:style>
  <w:style w:type="character" w:customStyle="1" w:styleId="cat-UserDefinedgrp-55rplc-33">
    <w:name w:val="cat-UserDefined grp-55 rplc-33"/>
    <w:basedOn w:val="DefaultParagraphFont"/>
  </w:style>
  <w:style w:type="character" w:customStyle="1" w:styleId="cat-UserDefinedgrp-55rplc-42">
    <w:name w:val="cat-UserDefined grp-55 rplc-42"/>
    <w:basedOn w:val="DefaultParagraphFont"/>
  </w:style>
  <w:style w:type="character" w:customStyle="1" w:styleId="cat-UserDefinedgrp-55rplc-45">
    <w:name w:val="cat-UserDefined grp-55 rplc-45"/>
    <w:basedOn w:val="DefaultParagraphFont"/>
  </w:style>
  <w:style w:type="character" w:customStyle="1" w:styleId="cat-UserDefinedgrp-55rplc-46">
    <w:name w:val="cat-UserDefined grp-55 rplc-46"/>
    <w:basedOn w:val="DefaultParagraphFont"/>
  </w:style>
  <w:style w:type="character" w:customStyle="1" w:styleId="cat-UserDefinedgrp-55rplc-50">
    <w:name w:val="cat-UserDefined grp-55 rplc-50"/>
    <w:basedOn w:val="DefaultParagraphFont"/>
  </w:style>
  <w:style w:type="character" w:customStyle="1" w:styleId="cat-UserDefinedgrp-55rplc-58">
    <w:name w:val="cat-UserDefined grp-55 rplc-58"/>
    <w:basedOn w:val="DefaultParagraphFont"/>
  </w:style>
  <w:style w:type="character" w:customStyle="1" w:styleId="cat-UserDefinedgrp-55rplc-61">
    <w:name w:val="cat-UserDefined grp-55 rplc-61"/>
    <w:basedOn w:val="DefaultParagraphFont"/>
  </w:style>
  <w:style w:type="character" w:customStyle="1" w:styleId="cat-UserDefinedgrp-55rplc-65">
    <w:name w:val="cat-UserDefined grp-55 rplc-65"/>
    <w:basedOn w:val="DefaultParagraphFont"/>
  </w:style>
  <w:style w:type="character" w:customStyle="1" w:styleId="cat-UserDefinedgrp-53rplc-75">
    <w:name w:val="cat-UserDefined grp-53 rplc-7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31328-9CFF-4359-8516-8D44DCB8739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